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oodfllplw28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Сведения о деятельности ИТ-компании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(в соответствии с Приказом Минцифры России № 511 от 02.06.2025 “Дополнительные требования, предъявляемые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“интернет”)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3j4ouz3lriy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Общие сведения об организации: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Полное наименование: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Общество с ограниченной ответственностью «Ваззап»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Сокращённое наименование: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«Ваззап»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7734610563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ОГРН: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1097746097866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Юридический адрес: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121205, г. Москва, вн. тер. г. Муниципальный округ Можайский,</w:t>
        <w:br w:type="textWrapping"/>
        <w:t xml:space="preserve">тер. Инновационного центра «Сколково»,</w:t>
        <w:br w:type="textWrapping"/>
        <w:t xml:space="preserve">бульвар Большой, д. 42, стр. 1, эт/пом/раб — 1/150/17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Фактический адрес: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121205, г. Москва, вн. тер. г. Муниципальный округ Можайский,</w:t>
        <w:br w:type="textWrapping"/>
        <w:t xml:space="preserve">тер. Инновационного центра «Сколково»,</w:t>
        <w:br w:type="textWrapping"/>
        <w:t xml:space="preserve">бульвар Большой, д. 42, стр. 1, эт/пом/раб — 1/150/17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zn8ahle414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Контактная информация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Телефон: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+7 967 555-75-78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Электронная почта: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support@wazzup24.com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Официальный сайт: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https://wazzup24.ru/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up3erw9m7z3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nga409ow4jmd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Основной вид деятельности: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осуществляет деятельность в области информационных технологий.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Основные коды ОКВЭД: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62.01 — Разработка компьютерного программного обеспечения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72.19 — Научные исследования и разработки в области естественных и технических наук прочие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na48vecponbe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Виды деятельности в области информационных технологий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осуществляет следующие виды деятельности, которые соответствуют перечню видов деятельности в области информационных технологий, утверждённому Минцифры России в соответствии с Приказом от 11 мая 2023 г. № 449 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1.01 — разработка, адаптация, модификация, сопровождение программ для ЭВМ;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2.01 — предоставление удалённого доступа к программам для ЭВМ посредством сети Интернет.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yfp7ctve8v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Сведения о программном обеспечении: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Наименование программного продукта: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Wazzup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Назначение программного обеспечения: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Wazzup предназначена для интеграции мессенджеров (включая WhatsApp, Telegram и иные) с CRM-системами, автоматизации коммуникаций с клиентами, повышения эффективности продаж и клиентского сервиса.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l5ecjnis8fz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Информация о правах на программное обеспечение: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«Ваззап» является правообладателем программного продукта Wazzup.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зарегистрировано в Едином реестре российских программ для электронных вычислительных машин и баз данных: Реестровая запись № 20319 от 27.11.2023 https://reestr.digital.gov.ru/reestr/1969381/?sphrase_id=19815211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Свидетельство о государственной регистрации программы для ЭВМ:</w:t>
        <w:br w:type="textWrapping"/>
        <w:t xml:space="preserve">№ 2021663501 от 18.08.2021 г.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8zfwr098etiw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Условия предоставления программного обеспечения: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Wazzup предоставляется: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модели SaaS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посредством удалённого доступа через сеть Интернет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пользовательского соглашения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zr7wnz4rcad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Информация о стоимости услуг: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использования программного обеспечения является фиксированной и определяется тарифными планами, размещёнными в открытом доступе на официальном сайте. Информация о стоимости является достоверной и актуальной. Цены указаны публично и являются актуальными на момент размещения. Актуальные тарифы доступны по ссылке:</w:t>
        <w:br w:type="textWrapping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https://wazzup24.ru/pricing/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2rfqe1ffo3fe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Используемые технологии и инструменты: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процессе разработки и эксплуатации программного обеспечения используются современные технологии и инструменты: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Фронтенд: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Nuxt, TypeScript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Бэкенд: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NestJS, Prisma ORM, TypeScript, gRPC, RabbitMQ, Apache Kafka, Redis, PostgreSQL, Elasticsearch, Jest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Инструменты разработки: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GitLab, Docker, Grafana, Zabbix, VictoriaMetrics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q0d28uip6hwg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Сведения о государственной аккредитации: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имеет государственную аккредитацию в области информационных технологий: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Номер записи в реестре аккредитованных организаций: 14013 Дата предоставления: 13.04.2021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fvo77rycz87o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Дополнительная информация: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Информация, размещённая на данной странице, предоставляется в открытом доступе и доступна неограниченному кругу лиц.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Официальный сайт организации функционирует круглосуточно (24/7).</w:t>
        <w:br w:type="textWrapping"/>
        <w:t xml:space="preserve">Доступ к информации осуществляется без необходимости регистрации или авторизации.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последнего обновления: 20.05.2026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zzup24.ru/" TargetMode="External"/><Relationship Id="rId7" Type="http://schemas.openxmlformats.org/officeDocument/2006/relationships/hyperlink" Target="https://wazzup24.ru/pri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